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9E" w:rsidRDefault="00AB45DC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FB329E" w:rsidRDefault="00AB45DC">
      <w:pPr>
        <w:pStyle w:val="ConsPlusNormal"/>
        <w:jc w:val="right"/>
      </w:pPr>
      <w:r>
        <w:t>к Закону Мурманской области</w:t>
      </w:r>
    </w:p>
    <w:p w:rsidR="00FB329E" w:rsidRDefault="00AB45DC">
      <w:pPr>
        <w:pStyle w:val="ConsPlusNormal"/>
        <w:jc w:val="right"/>
      </w:pPr>
      <w:r>
        <w:t>от 19 декабря 2014 г. N 1811-01-ЗМО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Title"/>
        <w:jc w:val="center"/>
      </w:pPr>
      <w:r>
        <w:t>МЕТОДИКА</w:t>
      </w:r>
    </w:p>
    <w:p w:rsidR="00FB329E" w:rsidRDefault="00AB45DC">
      <w:pPr>
        <w:pStyle w:val="ConsPlusTitle"/>
        <w:jc w:val="center"/>
      </w:pPr>
      <w:r>
        <w:t>РАСЧЕТА РАЗМЕРА СУБВЕНЦИИ БЮДЖЕТУ МУНИЦИПАЛЬНОГО</w:t>
      </w:r>
    </w:p>
    <w:p w:rsidR="00FB329E" w:rsidRDefault="00AB45DC">
      <w:pPr>
        <w:pStyle w:val="ConsPlusTitle"/>
        <w:jc w:val="center"/>
      </w:pPr>
      <w:r>
        <w:t>ОБРАЗОВАНИЯ ГОРОДСКОЙ ОКРУГ ГОРОД-ГЕРОЙ МУРМАНСК</w:t>
      </w:r>
    </w:p>
    <w:p w:rsidR="00FB329E" w:rsidRDefault="00AB45DC">
      <w:pPr>
        <w:pStyle w:val="ConsPlusTitle"/>
        <w:jc w:val="center"/>
      </w:pPr>
      <w:r>
        <w:t>НА ОСУЩЕСТВЛЕНИЕ ОРГАНАМИ МЕСТНОГО САМОУПРАВЛЕНИЯ</w:t>
      </w:r>
    </w:p>
    <w:p w:rsidR="00FB329E" w:rsidRDefault="00AB45DC">
      <w:pPr>
        <w:pStyle w:val="ConsPlusTitle"/>
        <w:jc w:val="center"/>
      </w:pPr>
      <w:r>
        <w:t>МУНИЦИПАЛЬНОГО ОБРАЗОВАНИЯ ГОРОДСКОЙ ОКРУГ ГОРОД-ГЕРОЙ</w:t>
      </w:r>
    </w:p>
    <w:p w:rsidR="00FB329E" w:rsidRDefault="00AB45DC">
      <w:pPr>
        <w:pStyle w:val="ConsPlusTitle"/>
        <w:jc w:val="center"/>
      </w:pPr>
      <w:r>
        <w:t>МУРМАНСК ГОСУДАРСТВЕННЫХ ПОЛНОМОЧИЙ</w:t>
      </w:r>
    </w:p>
    <w:p w:rsidR="00FB329E" w:rsidRDefault="00FB329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FB329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29E" w:rsidRDefault="00FB329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29E" w:rsidRDefault="00FB329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329E" w:rsidRDefault="00AB45D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329E" w:rsidRDefault="00AB45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FB329E" w:rsidRDefault="00AB45DC">
            <w:pPr>
              <w:pStyle w:val="ConsPlusNormal"/>
              <w:jc w:val="center"/>
            </w:pPr>
            <w:r>
              <w:rPr>
                <w:color w:val="392C69"/>
              </w:rPr>
              <w:t>от 07.12.2023 N 2942-01-ЗМО, от 08.11.2024 N 3045-01-ЗМО)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29E" w:rsidRDefault="00FB329E">
            <w:pPr>
              <w:pStyle w:val="ConsPlusNormal"/>
            </w:pPr>
          </w:p>
        </w:tc>
      </w:tr>
    </w:tbl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r>
        <w:t>Общий размер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государственных полномочий определяется по след</w:t>
      </w:r>
      <w:r>
        <w:t>ующей формуле: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spellStart"/>
      <w:r>
        <w:t>Si</w:t>
      </w:r>
      <w:proofErr w:type="spellEnd"/>
      <w:r>
        <w:t xml:space="preserve"> = </w:t>
      </w:r>
      <w:proofErr w:type="spellStart"/>
      <w:r>
        <w:t>Sip</w:t>
      </w:r>
      <w:proofErr w:type="spellEnd"/>
      <w:r>
        <w:t xml:space="preserve"> + </w:t>
      </w:r>
      <w:proofErr w:type="spellStart"/>
      <w:r>
        <w:t>Sia</w:t>
      </w:r>
      <w:proofErr w:type="spellEnd"/>
      <w:r>
        <w:t>,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r>
        <w:t xml:space="preserve">где </w:t>
      </w:r>
      <w:proofErr w:type="spellStart"/>
      <w:r>
        <w:t>Si</w:t>
      </w:r>
      <w:proofErr w:type="spellEnd"/>
      <w:r>
        <w:t xml:space="preserve"> - объем субвенции на осуществление органами местного самоуправления государственных полномочий на соответствующий финансовый год;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spellStart"/>
      <w:r>
        <w:t>Sip</w:t>
      </w:r>
      <w:proofErr w:type="spellEnd"/>
      <w:r>
        <w:t xml:space="preserve"> - объем субвенции на осуществление органами местного самоуправления государственных</w:t>
      </w:r>
      <w:r>
        <w:t xml:space="preserve"> полномочий по предоставлению ежемесячной жилищно-коммунальной выплаты на соответствующий финансовый год, рассчитываемый с округлением до целых сотен рублей в сторону увеличения по следующей формуле: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proofErr w:type="spellStart"/>
      <w:r>
        <w:t>Sip</w:t>
      </w:r>
      <w:proofErr w:type="spellEnd"/>
      <w:r>
        <w:t xml:space="preserve"> = (R x </w:t>
      </w:r>
      <w:proofErr w:type="spellStart"/>
      <w:r>
        <w:t>Hri</w:t>
      </w:r>
      <w:proofErr w:type="spellEnd"/>
      <w:r>
        <w:t>) x 12,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r>
        <w:t>где R - средний размер ежемесячн</w:t>
      </w:r>
      <w:r>
        <w:t>ой выплаты, установленный специалистам, имеющим право на ее получение в соответствии с пунктом 1 статьи 1 настоящего Закона, прогнозируемый в i-м муниципальном образовании на отчетный финансовый год, по данным органов местного самоуправления;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spellStart"/>
      <w:r>
        <w:t>Hri</w:t>
      </w:r>
      <w:proofErr w:type="spellEnd"/>
      <w:r>
        <w:t xml:space="preserve"> - прогнозируемая среднегодовая численность специалистов, указанных в пункте 1 статьи 1 настоящего Закона, в муниципальном образовании городской округ город-герой Мурманск на соответствующий финансовый год по данным органов местного самоуправления;</w:t>
      </w:r>
    </w:p>
    <w:p w:rsidR="00FB329E" w:rsidRDefault="00AB45DC">
      <w:pPr>
        <w:pStyle w:val="ConsPlusNormal"/>
        <w:spacing w:before="240"/>
        <w:ind w:firstLine="540"/>
        <w:jc w:val="both"/>
      </w:pPr>
      <w:r>
        <w:t>12 -</w:t>
      </w:r>
      <w:r>
        <w:t xml:space="preserve"> количество месяцев в году;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spellStart"/>
      <w:r>
        <w:t>Sia</w:t>
      </w:r>
      <w:proofErr w:type="spellEnd"/>
      <w:r>
        <w:t xml:space="preserve"> - объем субвенции на осуществление органами местного самоуправления государственных полномочий по организации предоставления ежемесячной жилищно-коммунальной выплаты на соответствующий финансовый год, рассчитываемый с округл</w:t>
      </w:r>
      <w:r>
        <w:t>ением до целых сотен рублей в сторону увеличения по следующей формуле: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r>
        <w:rPr>
          <w:noProof/>
          <w:position w:val="-27"/>
        </w:rPr>
        <w:lastRenderedPageBreak/>
        <w:drawing>
          <wp:inline distT="0" distB="0" distL="0" distR="0">
            <wp:extent cx="1417320" cy="50292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r>
        <w:t xml:space="preserve">где </w:t>
      </w:r>
      <w:proofErr w:type="spellStart"/>
      <w:r>
        <w:t>ni</w:t>
      </w:r>
      <w:proofErr w:type="spellEnd"/>
      <w:r>
        <w:t xml:space="preserve"> - количество финансово-лицевых счетов получателей ежемесячной выплаты на 1 июля текущего финансового года по данным органов местного самоуправления;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spellStart"/>
      <w:proofErr w:type="gramStart"/>
      <w:r>
        <w:t>N</w:t>
      </w:r>
      <w:proofErr w:type="gramEnd"/>
      <w:r>
        <w:t>нагр</w:t>
      </w:r>
      <w:proofErr w:type="spellEnd"/>
      <w:r>
        <w:t xml:space="preserve"> - норма нагрузки на</w:t>
      </w:r>
      <w:r>
        <w:t xml:space="preserve"> одного работника, занимающегося вопросами предоставления ежемесячной выплаты, равная 2435 финансово-лицевым счетам получателей ежемесячной жилищно-коммунальной выплаты;</w:t>
      </w:r>
    </w:p>
    <w:p w:rsidR="00FB329E" w:rsidRDefault="00AB45DC">
      <w:pPr>
        <w:pStyle w:val="ConsPlusNormal"/>
        <w:spacing w:before="240"/>
        <w:ind w:firstLine="540"/>
        <w:jc w:val="both"/>
      </w:pPr>
      <w:r>
        <w:t xml:space="preserve">соотношение </w:t>
      </w:r>
      <w:r>
        <w:rPr>
          <w:noProof/>
          <w:position w:val="-27"/>
        </w:rPr>
        <w:drawing>
          <wp:inline distT="0" distB="0" distL="0" distR="0">
            <wp:extent cx="561340" cy="50292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нормативная численность (чел.);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gramStart"/>
      <w:r>
        <w:t>N</w:t>
      </w:r>
      <w:proofErr w:type="gramEnd"/>
      <w:r>
        <w:t>З - норматив затрат на одного работни</w:t>
      </w:r>
      <w:r>
        <w:t>ка, осуществляющего выполнение государственных полномочий по организации предоставления ежемесячной выплаты, рассчитываемый с округлением до целых рублей в сторону увеличения, по следующей формуле: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proofErr w:type="gramStart"/>
      <w:r>
        <w:t>N</w:t>
      </w:r>
      <w:proofErr w:type="gramEnd"/>
      <w:r>
        <w:t>З = (</w:t>
      </w:r>
      <w:proofErr w:type="spellStart"/>
      <w:r>
        <w:t>Фотр</w:t>
      </w:r>
      <w:proofErr w:type="spellEnd"/>
      <w:r>
        <w:t xml:space="preserve"> + (</w:t>
      </w:r>
      <w:proofErr w:type="spellStart"/>
      <w:r>
        <w:t>Фотр</w:t>
      </w:r>
      <w:proofErr w:type="spellEnd"/>
      <w:r>
        <w:t xml:space="preserve"> x Т)) x </w:t>
      </w:r>
      <w:proofErr w:type="spellStart"/>
      <w:r>
        <w:t>Ктр</w:t>
      </w:r>
      <w:proofErr w:type="spellEnd"/>
      <w:r>
        <w:t>,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r>
        <w:t xml:space="preserve">где </w:t>
      </w:r>
      <w:proofErr w:type="spellStart"/>
      <w:r>
        <w:t>Фотр</w:t>
      </w:r>
      <w:proofErr w:type="spellEnd"/>
      <w:r>
        <w:t xml:space="preserve"> - фонд оплаты т</w:t>
      </w:r>
      <w:r>
        <w:t>руда работника, осуществляющего выполнение государственных полномочий, рассчитываемый по формуле: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proofErr w:type="spellStart"/>
      <w:r>
        <w:t>Фотр</w:t>
      </w:r>
      <w:proofErr w:type="spellEnd"/>
      <w:r>
        <w:t xml:space="preserve"> = Док x </w:t>
      </w:r>
      <w:proofErr w:type="spellStart"/>
      <w:r>
        <w:t>Кдок</w:t>
      </w:r>
      <w:proofErr w:type="spellEnd"/>
      <w:r>
        <w:t xml:space="preserve"> x Кс,</w:t>
      </w:r>
    </w:p>
    <w:p w:rsidR="00FB329E" w:rsidRDefault="00FB329E">
      <w:pPr>
        <w:pStyle w:val="ConsPlusNormal"/>
        <w:jc w:val="both"/>
      </w:pPr>
    </w:p>
    <w:p w:rsidR="00FB329E" w:rsidRDefault="00AB45DC">
      <w:pPr>
        <w:pStyle w:val="ConsPlusNormal"/>
        <w:ind w:firstLine="540"/>
        <w:jc w:val="both"/>
      </w:pPr>
      <w:r>
        <w:t>где Док - размер должностного оклада ведущего специалиста, установленный в соответствии с разделом "Должности государственной гражда</w:t>
      </w:r>
      <w:r>
        <w:t>нской службы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</w:t>
      </w:r>
      <w:r>
        <w:t>асти";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spellStart"/>
      <w:r>
        <w:t>Кдок</w:t>
      </w:r>
      <w:proofErr w:type="spellEnd"/>
      <w: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gramStart"/>
      <w:r>
        <w:t>Кс - коэффициент, применяемый для обеспечения государственных гарантий лицам, являющимся работниками организац</w:t>
      </w:r>
      <w:r>
        <w:t>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  <w:proofErr w:type="gramEnd"/>
    </w:p>
    <w:p w:rsidR="00FB329E" w:rsidRDefault="00AB45DC">
      <w:pPr>
        <w:pStyle w:val="ConsPlusNormal"/>
        <w:spacing w:before="240"/>
        <w:ind w:firstLine="540"/>
        <w:jc w:val="both"/>
      </w:pPr>
      <w:r>
        <w:t>Т - тариф для исчисл</w:t>
      </w:r>
      <w:r>
        <w:t xml:space="preserve">ения страховых взносов по обязательному социальному страхованию, </w:t>
      </w:r>
      <w:proofErr w:type="gramStart"/>
      <w:r>
        <w:t>установленный</w:t>
      </w:r>
      <w:proofErr w:type="gramEnd"/>
      <w:r>
        <w:t xml:space="preserve"> законодательством Российской Федерации;</w:t>
      </w:r>
    </w:p>
    <w:p w:rsidR="00FB329E" w:rsidRDefault="00AB45DC">
      <w:pPr>
        <w:pStyle w:val="ConsPlusNormal"/>
        <w:spacing w:before="240"/>
        <w:ind w:firstLine="540"/>
        <w:jc w:val="both"/>
      </w:pPr>
      <w:proofErr w:type="spellStart"/>
      <w:proofErr w:type="gramStart"/>
      <w:r>
        <w:t>Ктр</w:t>
      </w:r>
      <w:proofErr w:type="spellEnd"/>
      <w: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</w:t>
      </w:r>
      <w:r>
        <w:t>енды (услуг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</w:t>
      </w:r>
      <w:r>
        <w:t>ое обслуживание),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и законодательством Мурманской области, иных </w:t>
      </w:r>
      <w:r>
        <w:lastRenderedPageBreak/>
        <w:t>расходов, связанных с осуществлением переданных г</w:t>
      </w:r>
      <w:r>
        <w:t>осударственных полномочий).</w:t>
      </w:r>
    </w:p>
    <w:p w:rsidR="00FB329E" w:rsidRDefault="00AB45DC">
      <w:pPr>
        <w:pStyle w:val="ConsPlusNormal"/>
        <w:spacing w:before="240"/>
        <w:ind w:firstLine="540"/>
        <w:jc w:val="both"/>
      </w:pPr>
      <w:r>
        <w:t>Объем субвенции, предоставляемый местным бюджетам из областного бюджета, может корректироваться в случае изменения значений показателей, используемых при расчете субвенции.</w:t>
      </w:r>
    </w:p>
    <w:p w:rsidR="00FB329E" w:rsidRDefault="00AB45DC">
      <w:pPr>
        <w:pStyle w:val="ConsPlusNormal"/>
        <w:jc w:val="both"/>
      </w:pPr>
      <w:r>
        <w:t>(в ред. Закона Мурманской области от 08.11.2024 N 3045-</w:t>
      </w:r>
      <w:r>
        <w:t>01-ЗМО)</w:t>
      </w:r>
    </w:p>
    <w:p w:rsidR="00FB329E" w:rsidRDefault="00AB45DC">
      <w:pPr>
        <w:pStyle w:val="ConsPlusNormal"/>
      </w:pPr>
      <w:r>
        <w:rPr>
          <w:i/>
        </w:rPr>
        <w:br/>
      </w:r>
      <w:proofErr w:type="gramStart"/>
      <w:r>
        <w:rPr>
          <w:i/>
        </w:rPr>
        <w:t xml:space="preserve">Закон Мурманской области от 19.12.2014 N 1811-01-ЗМО (ред. от 08.11.2024) "О сохранении права на меры социальной поддержки отдельных категорий граждан в связи с упразднением поселка городского типа </w:t>
      </w:r>
      <w:proofErr w:type="spellStart"/>
      <w:r>
        <w:rPr>
          <w:i/>
        </w:rPr>
        <w:t>Росляково</w:t>
      </w:r>
      <w:proofErr w:type="spellEnd"/>
      <w:r>
        <w:rPr>
          <w:i/>
        </w:rPr>
        <w:t>" (принят Мурманской областной Думой 11.</w:t>
      </w:r>
      <w:r>
        <w:rPr>
          <w:i/>
        </w:rPr>
        <w:t>12.2014) (вместе с "Методикой расчета размера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</w:t>
      </w:r>
      <w:r>
        <w:rPr>
          <w:i/>
        </w:rPr>
        <w:t>х полномочий")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  <w:proofErr w:type="gramEnd"/>
    </w:p>
    <w:sectPr w:rsidR="00FB329E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329E"/>
    <w:rsid w:val="00AB45DC"/>
    <w:rsid w:val="00FB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AB45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Мурманской области от 19.12.2014 N 1811-01-ЗМО
(ред. от 08.11.2024)
"О сохранении права на меры социальной поддержки отдельных категорий граждан в связи с упразднением поселка городского типа Росляково"
(принят Мурманской областной Думой 11.12.2014)</vt:lpstr>
    </vt:vector>
  </TitlesOfParts>
  <Company>КонсультантПлюс Версия 4024.00.50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19.12.2014 N 1811-01-ЗМО
(ред. от 08.11.2024)
"О сохранении права на меры социальной поддержки отдельных категорий граждан в связи с упразднением поселка городского типа Росляково"
(принят Мурманской областной Думой 11.12.2014)
(вместе с "Методикой расчета размера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государственных полномо</dc:title>
  <dc:creator>Удовенко К.С.</dc:creator>
  <cp:lastModifiedBy>Удовенко К.С.</cp:lastModifiedBy>
  <cp:revision>2</cp:revision>
  <dcterms:created xsi:type="dcterms:W3CDTF">2025-10-02T08:45:00Z</dcterms:created>
  <dcterms:modified xsi:type="dcterms:W3CDTF">2025-10-02T08:45:00Z</dcterms:modified>
</cp:coreProperties>
</file>